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57" w:rsidRDefault="00261257" w:rsidP="00261257">
      <w:pPr>
        <w:autoSpaceDE w:val="0"/>
        <w:autoSpaceDN w:val="0"/>
        <w:adjustRightInd w:val="0"/>
        <w:spacing w:after="0" w:line="240" w:lineRule="auto"/>
        <w:jc w:val="center"/>
        <w:rPr>
          <w:rFonts w:cs="B Lotus"/>
          <w:b/>
          <w:bCs/>
          <w:sz w:val="24"/>
          <w:szCs w:val="24"/>
        </w:rPr>
      </w:pPr>
      <w:bookmarkStart w:id="0" w:name="_GoBack"/>
      <w:bookmarkEnd w:id="0"/>
    </w:p>
    <w:p w:rsidR="00EA7BC4" w:rsidRPr="00EA7BC4" w:rsidRDefault="00261257" w:rsidP="00EA7BC4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32"/>
          <w:szCs w:val="32"/>
        </w:rPr>
      </w:pPr>
      <w:r w:rsidRPr="00EA7BC4">
        <w:rPr>
          <w:rFonts w:ascii="IranNastaliq" w:hAnsi="IranNastaliq" w:cs="IranNastaliq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2C81" wp14:editId="4FCC484C">
                <wp:simplePos x="0" y="0"/>
                <wp:positionH relativeFrom="column">
                  <wp:posOffset>4892865</wp:posOffset>
                </wp:positionH>
                <wp:positionV relativeFrom="paragraph">
                  <wp:posOffset>-385445</wp:posOffset>
                </wp:positionV>
                <wp:extent cx="1407226" cy="1175657"/>
                <wp:effectExtent l="0" t="0" r="254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226" cy="1175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2E" w:rsidRDefault="005B512E" w:rsidP="00261257">
                            <w:pPr>
                              <w:jc w:val="center"/>
                            </w:pPr>
                            <w:r w:rsidRPr="00261257"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C23A893" wp14:editId="1F06CB1F">
                                  <wp:extent cx="1198880" cy="950202"/>
                                  <wp:effectExtent l="0" t="0" r="127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950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42C81" id="Rectangle 3" o:spid="_x0000_s1026" style="position:absolute;left:0;text-align:left;margin-left:385.25pt;margin-top:-30.35pt;width:110.8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" fillcolor="white [3201]" stroked="f" strokeweight="2pt">
                <v:textbox>
                  <w:txbxContent>
                    <w:p w:rsidR="005B512E" w:rsidRDefault="005B512E" w:rsidP="00261257">
                      <w:pPr>
                        <w:jc w:val="center"/>
                      </w:pPr>
                      <w:r w:rsidRPr="00261257"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C23A893" wp14:editId="1F06CB1F">
                            <wp:extent cx="1198880" cy="950202"/>
                            <wp:effectExtent l="0" t="0" r="127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950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7BC4" w:rsidRPr="00EA7BC4">
        <w:rPr>
          <w:rFonts w:ascii="IranNastaliq" w:hAnsi="IranNastaliq" w:cs="IranNastaliq"/>
          <w:b/>
          <w:bCs/>
          <w:sz w:val="32"/>
          <w:szCs w:val="32"/>
          <w:rtl/>
        </w:rPr>
        <w:t>بسمه تعالي</w:t>
      </w:r>
    </w:p>
    <w:p w:rsidR="00346312" w:rsidRPr="003B206E" w:rsidRDefault="00346312" w:rsidP="002521F7">
      <w:pPr>
        <w:jc w:val="center"/>
        <w:rPr>
          <w:rFonts w:cs="B Lotus"/>
          <w:sz w:val="24"/>
          <w:szCs w:val="24"/>
          <w:rtl/>
        </w:rPr>
      </w:pPr>
    </w:p>
    <w:p w:rsidR="00405BA2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EA7BC4" w:rsidRDefault="00EA7BC4" w:rsidP="002521F7">
      <w:pPr>
        <w:jc w:val="both"/>
        <w:rPr>
          <w:rFonts w:cs="B Lotus"/>
          <w:sz w:val="24"/>
          <w:szCs w:val="24"/>
          <w:rtl/>
        </w:rPr>
      </w:pPr>
    </w:p>
    <w:p w:rsidR="00EA7BC4" w:rsidRDefault="00EA7BC4" w:rsidP="002521F7">
      <w:pPr>
        <w:jc w:val="both"/>
        <w:rPr>
          <w:rFonts w:cs="B Lotus"/>
          <w:sz w:val="24"/>
          <w:szCs w:val="24"/>
          <w:rtl/>
        </w:rPr>
      </w:pPr>
    </w:p>
    <w:p w:rsidR="00A235DD" w:rsidRPr="003B206E" w:rsidRDefault="00A235DD" w:rsidP="002521F7">
      <w:pPr>
        <w:jc w:val="both"/>
        <w:rPr>
          <w:rFonts w:cs="B Lotus"/>
          <w:sz w:val="24"/>
          <w:szCs w:val="24"/>
          <w:rtl/>
        </w:rPr>
      </w:pPr>
    </w:p>
    <w:p w:rsidR="00EA7BC4" w:rsidRDefault="00EA7BC4" w:rsidP="00EA7BC4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56"/>
          <w:szCs w:val="72"/>
          <w:rtl/>
        </w:rPr>
      </w:pP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شیوه نامه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اجرایی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ارزيابي عملكرد</w:t>
      </w:r>
    </w:p>
    <w:p w:rsidR="00EA7BC4" w:rsidRPr="00EA7BC4" w:rsidRDefault="00EA7BC4" w:rsidP="00EA7BC4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اعضاء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غیر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هیات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علمی</w:t>
      </w:r>
      <w:r w:rsidRPr="00EA7BC4">
        <w:rPr>
          <w:rFonts w:ascii="IranNastaliq" w:hAnsi="IranNastaliq" w:cs="IranNastaliq"/>
          <w:b/>
          <w:bCs/>
          <w:sz w:val="56"/>
          <w:szCs w:val="72"/>
        </w:rPr>
        <w:t xml:space="preserve"> </w:t>
      </w:r>
      <w:r w:rsidRPr="00EA7BC4">
        <w:rPr>
          <w:rFonts w:ascii="IranNastaliq" w:hAnsi="IranNastaliq" w:cs="IranNastaliq"/>
          <w:b/>
          <w:bCs/>
          <w:sz w:val="56"/>
          <w:szCs w:val="72"/>
          <w:rtl/>
        </w:rPr>
        <w:t>دانشگاه خلیج فارس</w:t>
      </w:r>
    </w:p>
    <w:p w:rsidR="00405BA2" w:rsidRPr="003B206E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405BA2" w:rsidRPr="003B206E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405BA2" w:rsidRPr="003B206E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405BA2" w:rsidRPr="003B206E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405BA2" w:rsidRPr="003B206E" w:rsidRDefault="00405BA2" w:rsidP="002521F7">
      <w:pPr>
        <w:jc w:val="both"/>
        <w:rPr>
          <w:rFonts w:cs="B Lotus"/>
          <w:sz w:val="24"/>
          <w:szCs w:val="24"/>
          <w:rtl/>
        </w:rPr>
      </w:pPr>
    </w:p>
    <w:p w:rsidR="00405BA2" w:rsidRPr="00EA7BC4" w:rsidRDefault="00405BA2" w:rsidP="002521F7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36"/>
          <w:szCs w:val="36"/>
        </w:rPr>
      </w:pPr>
      <w:r w:rsidRPr="00EA7BC4">
        <w:rPr>
          <w:rFonts w:ascii="IranNastaliq" w:hAnsi="IranNastaliq" w:cs="IranNastaliq"/>
          <w:b/>
          <w:bCs/>
          <w:sz w:val="36"/>
          <w:szCs w:val="36"/>
          <w:rtl/>
        </w:rPr>
        <w:t>تهیه</w:t>
      </w:r>
      <w:r w:rsidRPr="00EA7BC4">
        <w:rPr>
          <w:rFonts w:ascii="IranNastaliq" w:hAnsi="IranNastaliq" w:cs="IranNastaliq"/>
          <w:b/>
          <w:bCs/>
          <w:sz w:val="36"/>
          <w:szCs w:val="36"/>
        </w:rPr>
        <w:t xml:space="preserve"> </w:t>
      </w:r>
      <w:r w:rsidRPr="00EA7BC4">
        <w:rPr>
          <w:rFonts w:ascii="IranNastaliq" w:hAnsi="IranNastaliq" w:cs="IranNastaliq"/>
          <w:b/>
          <w:bCs/>
          <w:sz w:val="36"/>
          <w:szCs w:val="36"/>
          <w:rtl/>
        </w:rPr>
        <w:t>و</w:t>
      </w:r>
      <w:r w:rsidRPr="00EA7BC4">
        <w:rPr>
          <w:rFonts w:ascii="IranNastaliq" w:hAnsi="IranNastaliq" w:cs="IranNastaliq"/>
          <w:b/>
          <w:bCs/>
          <w:sz w:val="36"/>
          <w:szCs w:val="36"/>
        </w:rPr>
        <w:t xml:space="preserve"> </w:t>
      </w:r>
      <w:r w:rsidRPr="00EA7BC4">
        <w:rPr>
          <w:rFonts w:ascii="IranNastaliq" w:hAnsi="IranNastaliq" w:cs="IranNastaliq"/>
          <w:b/>
          <w:bCs/>
          <w:sz w:val="36"/>
          <w:szCs w:val="36"/>
          <w:rtl/>
        </w:rPr>
        <w:t>تنظیم</w:t>
      </w:r>
      <w:r w:rsidRPr="00EA7BC4">
        <w:rPr>
          <w:rFonts w:ascii="IranNastaliq" w:hAnsi="IranNastaliq" w:cs="IranNastaliq"/>
          <w:b/>
          <w:bCs/>
          <w:sz w:val="36"/>
          <w:szCs w:val="36"/>
        </w:rPr>
        <w:t>:</w:t>
      </w:r>
    </w:p>
    <w:p w:rsidR="00405BA2" w:rsidRPr="00EA7BC4" w:rsidRDefault="00EA7BC4" w:rsidP="00EA7BC4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EA7BC4">
        <w:rPr>
          <w:rFonts w:ascii="IranNastaliq" w:hAnsi="IranNastaliq" w:cs="IranNastaliq"/>
          <w:b/>
          <w:bCs/>
          <w:sz w:val="36"/>
          <w:szCs w:val="36"/>
          <w:rtl/>
        </w:rPr>
        <w:t>دبيرخانه كميته ارزيابي عملكرد</w:t>
      </w:r>
    </w:p>
    <w:p w:rsidR="00EA7BC4" w:rsidRPr="00EA7BC4" w:rsidRDefault="00EA7BC4" w:rsidP="00EA7BC4">
      <w:pPr>
        <w:pStyle w:val="ListParagraph"/>
        <w:ind w:left="-138"/>
        <w:jc w:val="both"/>
        <w:rPr>
          <w:rFonts w:cs="B Titr"/>
          <w:sz w:val="28"/>
          <w:szCs w:val="28"/>
          <w:rtl/>
        </w:rPr>
      </w:pPr>
      <w:r w:rsidRPr="00EA7BC4">
        <w:rPr>
          <w:rFonts w:cs="B Titr" w:hint="cs"/>
          <w:sz w:val="28"/>
          <w:szCs w:val="28"/>
          <w:rtl/>
        </w:rPr>
        <w:lastRenderedPageBreak/>
        <w:t>مقدمه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اجرای ماده 50 آیین نامه استخدامی اعضای غیر هیات علمی و به منظور رعایت اصل شایسته سالاری و مدیریت بهبود عملکرد و کیفیت کار، اعمال ضابطه شایستگی در تصمی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م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ات اداری، به کارگی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ر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ی نتایج ارزیابی در بهسازی 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نیروی انسانی و افزایش کارایی و ا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ثربخشی عضو، دانشگاه 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موظف است عملکرد 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اعضای خود را براساس این دستورالعمل ارزیابی کند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.</w:t>
      </w:r>
    </w:p>
    <w:p w:rsidR="00EA7BC4" w:rsidRDefault="00EA7BC4" w:rsidP="00EA7BC4">
      <w:pPr>
        <w:pStyle w:val="ListParagraph"/>
        <w:numPr>
          <w:ilvl w:val="0"/>
          <w:numId w:val="6"/>
        </w:numPr>
        <w:tabs>
          <w:tab w:val="left" w:pos="146"/>
        </w:tabs>
        <w:ind w:left="-138" w:firstLine="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ماده 1</w:t>
      </w:r>
    </w:p>
    <w:p w:rsidR="00EA7BC4" w:rsidRPr="00EE4D53" w:rsidRDefault="00EA7BC4" w:rsidP="00EA7BC4">
      <w:pPr>
        <w:ind w:left="-138"/>
        <w:jc w:val="both"/>
        <w:rPr>
          <w:rFonts w:cs="B Titr"/>
          <w:sz w:val="28"/>
          <w:szCs w:val="28"/>
          <w:rtl/>
        </w:rPr>
      </w:pPr>
      <w:r w:rsidRPr="00EE4D53">
        <w:rPr>
          <w:rFonts w:cs="B Titr" w:hint="cs"/>
          <w:sz w:val="28"/>
          <w:szCs w:val="28"/>
          <w:rtl/>
        </w:rPr>
        <w:t>تعاریف: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عملکرد: چگونگي انجام وظايف و فعاليتها و نتايج حاصل توسط عضو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دوره ارزيابی: دوره ارزیابی از اول مهر ماه هر سال تا پایان شهریور سال بعد (با توجه ماده آئین نامه )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ارزيابي شونده: عضو رسمی، پیمانی، قراردادی شاغل که عملکرد وی در یک دوره یک ساله ارزیابی می‌شود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ارزیابی کننده: متشکل از کمیته ارزیابی واحد که اعضای آن به شرح ذیل می‌باشد: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معاون اداری و مالی، مدیر امور اداری،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رئيس اداره كارگزيني،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سرپرست بلافصل عضو ، مدیر(یا معاون دانشکده)، معاون حوزه (یا رئیس دانشکده). 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گروه : تقسیم بندی اعضا براساس سطح پست سازمانی یا نوع و ماهیت وظایف آنان برای ارزیابی عملکرد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شاخص: مشخصه‌ای است که در اندازه گیری ورودی‌ها، فرایندها، عملکردها، وظایف و پیامدها استفاده می‌شود.</w:t>
      </w:r>
    </w:p>
    <w:p w:rsidR="00EA7BC4" w:rsidRDefault="00EA7BC4" w:rsidP="00EA7BC4">
      <w:pPr>
        <w:pStyle w:val="ListParagraph"/>
        <w:numPr>
          <w:ilvl w:val="0"/>
          <w:numId w:val="6"/>
        </w:numPr>
        <w:tabs>
          <w:tab w:val="left" w:pos="146"/>
        </w:tabs>
        <w:ind w:left="-138" w:firstLine="0"/>
        <w:jc w:val="both"/>
        <w:rPr>
          <w:rFonts w:cs="B Titr"/>
          <w:sz w:val="28"/>
          <w:szCs w:val="28"/>
        </w:rPr>
      </w:pPr>
      <w:r w:rsidRPr="00914B90">
        <w:rPr>
          <w:rFonts w:cs="B Titr" w:hint="cs"/>
          <w:sz w:val="28"/>
          <w:szCs w:val="28"/>
          <w:rtl/>
        </w:rPr>
        <w:t>ماده 2</w:t>
      </w:r>
    </w:p>
    <w:p w:rsidR="00EA7BC4" w:rsidRPr="00D54815" w:rsidRDefault="00EA7BC4" w:rsidP="00EA7BC4">
      <w:pPr>
        <w:pStyle w:val="ListParagraph"/>
        <w:tabs>
          <w:tab w:val="left" w:pos="146"/>
        </w:tabs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دانشگاه موطف است عملکرد عضو را با رعایت ضوابط و مقررات این دستورالعمل، سالانه و به صورت همه جانبه ارزیابی کند و نتایج ارزیابی را پس از تایید هیات اجرایی دانشگاه، در تصمیم‌گیری موارد زیر به کار گیرد: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تمدید قرارداد اعضای قراردادی و پیمانی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اعطای پایه استحقاقی سالیانه اعضا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اعطای پایه تشویقی به اعضا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کسر فوق العاده ویژه اعضای رسمی به دلیل دریافت نکردن پایه استحقاقی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طراحی و اجرای دوره های آموزشی مورد نیاز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انتصاب و عزل اعضا در پست‌های سازمانی مدیریتی </w:t>
      </w:r>
    </w:p>
    <w:p w:rsidR="00EA7BC4" w:rsidRPr="00D54815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برقراری فوق‌العاده بهره‌وری اعضا</w:t>
      </w:r>
    </w:p>
    <w:p w:rsidR="00EA7BC4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ارتقا رتبه اعضا</w:t>
      </w:r>
    </w:p>
    <w:p w:rsidR="00EA7BC4" w:rsidRPr="00914B90" w:rsidRDefault="00EA7BC4" w:rsidP="00EA7BC4">
      <w:pPr>
        <w:pStyle w:val="ListParagraph"/>
        <w:numPr>
          <w:ilvl w:val="0"/>
          <w:numId w:val="6"/>
        </w:numPr>
        <w:tabs>
          <w:tab w:val="left" w:pos="146"/>
        </w:tabs>
        <w:ind w:left="-138" w:firstLine="0"/>
        <w:jc w:val="both"/>
        <w:rPr>
          <w:rFonts w:cs="B Titr"/>
          <w:sz w:val="28"/>
          <w:szCs w:val="28"/>
          <w:rtl/>
        </w:rPr>
      </w:pPr>
      <w:r w:rsidRPr="00914B90">
        <w:rPr>
          <w:rFonts w:cs="B Titr" w:hint="cs"/>
          <w:sz w:val="28"/>
          <w:szCs w:val="28"/>
          <w:rtl/>
        </w:rPr>
        <w:t>ماده 3</w:t>
      </w:r>
    </w:p>
    <w:p w:rsidR="00EA7BC4" w:rsidRPr="00D54815" w:rsidRDefault="00EA7BC4" w:rsidP="00EA7BC4">
      <w:pPr>
        <w:ind w:left="81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lastRenderedPageBreak/>
        <w:t>اعضا برای ارزیابی عملکرد بر اساس سطح پست سازمانی/ شغل یا نوع و ماهیت وظایف در یکی از گروه‌های ذیل قرار می‌گیرند.</w:t>
      </w:r>
    </w:p>
    <w:p w:rsidR="00EA7BC4" w:rsidRPr="00D54815" w:rsidRDefault="00EA7BC4" w:rsidP="00EA7BC4">
      <w:pPr>
        <w:ind w:left="81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گروه یک: مدیر، معاون مدیر یا عناوین هم‌تراز(سطح مدیریتی میانی)</w:t>
      </w:r>
    </w:p>
    <w:p w:rsidR="00EA7BC4" w:rsidRPr="00D54815" w:rsidRDefault="00EA7BC4" w:rsidP="00EA7BC4">
      <w:pPr>
        <w:ind w:left="81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گروه دو: رئیس گروه/رئیس اداره، کارشناس مسئول یا عناوین هم‌تراز(سطح مدیریتی پایه)</w:t>
      </w:r>
    </w:p>
    <w:p w:rsidR="00EA7BC4" w:rsidRPr="00D54815" w:rsidRDefault="00EA7BC4" w:rsidP="00EA7BC4">
      <w:pPr>
        <w:ind w:left="81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گروه سه: کارشناس، کاردان یا عناوین هم‌تراز</w:t>
      </w:r>
    </w:p>
    <w:p w:rsidR="00EA7BC4" w:rsidRPr="00D54815" w:rsidRDefault="00EA7BC4" w:rsidP="00EA7BC4">
      <w:pPr>
        <w:ind w:left="81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54815">
        <w:rPr>
          <w:rFonts w:ascii="Calibri" w:eastAsia="Calibri" w:hAnsi="Calibri" w:cs="B Nazanin" w:hint="cs"/>
          <w:b/>
          <w:bCs/>
          <w:sz w:val="26"/>
          <w:szCs w:val="26"/>
          <w:rtl/>
        </w:rPr>
        <w:t>گروه چهار: سایر مشاغل</w:t>
      </w:r>
    </w:p>
    <w:p w:rsidR="00EA7BC4" w:rsidRPr="00914B90" w:rsidRDefault="00EA7BC4" w:rsidP="00EA7BC4">
      <w:pPr>
        <w:pStyle w:val="ListParagraph"/>
        <w:numPr>
          <w:ilvl w:val="0"/>
          <w:numId w:val="6"/>
        </w:numPr>
        <w:tabs>
          <w:tab w:val="left" w:pos="146"/>
        </w:tabs>
        <w:ind w:left="-138" w:firstLine="0"/>
        <w:jc w:val="both"/>
        <w:rPr>
          <w:rFonts w:cs="B Titr"/>
          <w:sz w:val="28"/>
          <w:szCs w:val="28"/>
          <w:rtl/>
        </w:rPr>
      </w:pPr>
      <w:r w:rsidRPr="00914B90">
        <w:rPr>
          <w:rFonts w:cs="B Titr" w:hint="cs"/>
          <w:sz w:val="28"/>
          <w:szCs w:val="28"/>
          <w:rtl/>
        </w:rPr>
        <w:t xml:space="preserve">ماده </w:t>
      </w:r>
      <w:r>
        <w:rPr>
          <w:rFonts w:cs="B Titr" w:hint="cs"/>
          <w:sz w:val="28"/>
          <w:szCs w:val="28"/>
          <w:rtl/>
        </w:rPr>
        <w:t>4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واحدها و مسئولان اجرای فرایند ارزیابی عملکرد اعضا عبارتند از: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EA3E2C">
        <w:rPr>
          <w:rFonts w:ascii="Calibri" w:eastAsia="Calibri" w:hAnsi="Calibri" w:cs="B Nazanin" w:hint="cs"/>
          <w:b/>
          <w:bCs/>
          <w:sz w:val="26"/>
          <w:szCs w:val="26"/>
          <w:rtl/>
        </w:rPr>
        <w:t>واحد متولي ارزيابي عملکرد:</w:t>
      </w:r>
      <w:r w:rsidRPr="00EA3E2C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مسئولیت برنامه ریزی و اجراي فرايند ارزيابي عملکرد اعضا برعهده مدیریت/اداره منابع انسانی دانشگاه یا عناوین مشابه است.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کارگروه تخصصی ارزیابی عملکرد: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کارگروهی تخصصی است که زیر نظر واحد متولی ارزیابی عملکرد تشکیل می‌شود و مسئولیت نظام ارزیابی و هدایت کلیه فعالیت‌ها را برعهده دارد. اعضا کارگروه عبارتند از: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معاون اداری و مالی، مدیر امور اداری، رئیس کارگزینی، کارشناس ارزیابی، عضو هیات علمی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متخصص با موضوع</w:t>
      </w: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.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تبصره: محل استقرار این کارگروه در مدیریت/اداره منابع انسانی دانشگاه یا عناوین مشابه می‌باشد.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sz w:val="26"/>
          <w:szCs w:val="26"/>
          <w:rtl/>
        </w:rPr>
      </w:pPr>
    </w:p>
    <w:p w:rsidR="00EA7BC4" w:rsidRDefault="00EA7BC4" w:rsidP="00EA7BC4">
      <w:pPr>
        <w:pStyle w:val="ListParagraph"/>
        <w:numPr>
          <w:ilvl w:val="0"/>
          <w:numId w:val="6"/>
        </w:numPr>
        <w:tabs>
          <w:tab w:val="left" w:pos="288"/>
        </w:tabs>
        <w:ind w:left="-138" w:firstLine="0"/>
        <w:jc w:val="both"/>
        <w:rPr>
          <w:rFonts w:cs="B Titr"/>
          <w:sz w:val="28"/>
          <w:szCs w:val="28"/>
        </w:rPr>
      </w:pPr>
      <w:r w:rsidRPr="00914B90">
        <w:rPr>
          <w:rFonts w:cs="B Titr" w:hint="cs"/>
          <w:sz w:val="28"/>
          <w:szCs w:val="28"/>
          <w:rtl/>
        </w:rPr>
        <w:t xml:space="preserve">ماده </w:t>
      </w:r>
      <w:r>
        <w:rPr>
          <w:rFonts w:cs="B Titr" w:hint="cs"/>
          <w:sz w:val="28"/>
          <w:szCs w:val="28"/>
          <w:rtl/>
        </w:rPr>
        <w:t>5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به منظور ارزیابی اعضا و جمع آوری اطلاعات مورد نیاز کاربرگ‌هایی توسط دبیرخانه ارزیابی عملکرد تهیه و به تایید هیات اجرایی می‌رسد. کاربرگ‌ها مذکور متناسب با گروه‌های چهارگانه مندرج در ماده 3 و مشتمل بر شاخص‌های عمومی و اختصاصی است و برای مجموع امتیاز 100 می‌باشد.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کاربرگ‌های ارزیابی عملکرد، بر اساس سامانه مدیریت عملکرد، که در تاریخ 11/3/98 به تصویب هیات اجرایی رسیده است، منظور می‌گردد</w:t>
      </w:r>
      <w:r>
        <w:rPr>
          <w:rFonts w:ascii="Calibri" w:eastAsia="Calibri" w:hAnsi="Calibri" w:cs="B Nazanin" w:hint="cs"/>
          <w:sz w:val="26"/>
          <w:szCs w:val="26"/>
          <w:rtl/>
        </w:rPr>
        <w:t>.</w:t>
      </w:r>
    </w:p>
    <w:p w:rsidR="00EA7BC4" w:rsidRDefault="00EA7BC4" w:rsidP="00EA7BC4">
      <w:pPr>
        <w:pStyle w:val="ListParagraph"/>
        <w:numPr>
          <w:ilvl w:val="0"/>
          <w:numId w:val="6"/>
        </w:numPr>
        <w:tabs>
          <w:tab w:val="left" w:pos="146"/>
        </w:tabs>
        <w:ind w:left="-138" w:firstLine="0"/>
        <w:jc w:val="both"/>
        <w:rPr>
          <w:rFonts w:cs="B Titr"/>
          <w:sz w:val="28"/>
          <w:szCs w:val="28"/>
        </w:rPr>
      </w:pPr>
      <w:r w:rsidRPr="00914B90">
        <w:rPr>
          <w:rFonts w:cs="B Titr" w:hint="cs"/>
          <w:sz w:val="28"/>
          <w:szCs w:val="28"/>
          <w:rtl/>
        </w:rPr>
        <w:t xml:space="preserve">ماده </w:t>
      </w:r>
      <w:r>
        <w:rPr>
          <w:rFonts w:cs="B Titr" w:hint="cs"/>
          <w:sz w:val="28"/>
          <w:szCs w:val="28"/>
          <w:rtl/>
        </w:rPr>
        <w:t xml:space="preserve">6 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محورها و معیارهای سنجش عملکرد اعضا به شرح ذیل است: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محور عمومی: عبارتست از معیارهای مشترک ارزیابی عملکرد عضو به شرح ذیل که زمینه تسهیل تحقق عملکرد اختصاصی وی را فراهم می کند: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الف) معیار تعظیم شعائر و انضباط اداری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ب) معیار شایستگی‌های اداری (مهارتهاي رفتاري)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lastRenderedPageBreak/>
        <w:t>ج) معیار مهارت</w:t>
      </w:r>
      <w:r>
        <w:rPr>
          <w:rFonts w:ascii="Calibri" w:eastAsia="Calibri" w:hAnsi="Calibri" w:cs="B Nazanin" w:hint="cs"/>
          <w:b/>
          <w:bCs/>
          <w:sz w:val="26"/>
          <w:szCs w:val="26"/>
          <w:rtl/>
          <w:cs/>
        </w:rPr>
        <w:t>‎‌های ارتباطی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د) معیار توسعه فردی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محور اختصاصی: عبارتست از معیارهای اختصاصی ارزیابی عملکرد عضو به شرح ذیل که به عنوان رکن اصلی سنجش عملکرد  عضو در ماموریت‌ها، برنامه ‌ها و شرح وظایف وی محسوب می‌شود</w:t>
      </w:r>
      <w:r w:rsidRPr="00D563FD">
        <w:rPr>
          <w:rFonts w:ascii="Calibri" w:eastAsia="Calibri" w:hAnsi="Calibri" w:cs="B Nazanin" w:hint="cs"/>
          <w:b/>
          <w:bCs/>
          <w:sz w:val="26"/>
          <w:szCs w:val="26"/>
          <w:rtl/>
        </w:rPr>
        <w:t>: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الف)معیار مشترک شغلی</w:t>
      </w:r>
    </w:p>
    <w:p w:rsidR="00EA7BC4" w:rsidRPr="00D563FD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ب) معیار اختصاصی شغلی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</w:rPr>
      </w:pPr>
    </w:p>
    <w:p w:rsidR="00EA7BC4" w:rsidRDefault="00EA7BC4" w:rsidP="00EA7BC4">
      <w:pPr>
        <w:pStyle w:val="ListParagraph"/>
        <w:ind w:left="-138"/>
        <w:jc w:val="both"/>
        <w:rPr>
          <w:rFonts w:cs="B Titr"/>
          <w:noProof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</w:rPr>
        <w:t xml:space="preserve">تبصره1: </w:t>
      </w:r>
      <w:r w:rsidRPr="00D563FD">
        <w:rPr>
          <w:rFonts w:ascii="Calibri" w:eastAsia="Calibri" w:hAnsi="Calibri" w:cs="B Nazanin" w:hint="cs"/>
          <w:b/>
          <w:bCs/>
          <w:sz w:val="26"/>
          <w:szCs w:val="26"/>
          <w:rtl/>
        </w:rPr>
        <w:t>معیار اختصاصی شغلی برای عضو رسمی و پیمانی بر اساس شرح وظایف پست سازمانی مورد تصدی و برای عضو قرارادادی بر اساس شرح وظایف محوله متناظر با پست سازمانی مرتبط تعریف می شود و این معیار درخصوص هریک از اعضا متفاوت است.</w:t>
      </w:r>
    </w:p>
    <w:p w:rsidR="00EA7BC4" w:rsidRPr="00D563FD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>
        <w:rPr>
          <w:rFonts w:cs="B Titr" w:hint="cs"/>
          <w:noProof/>
          <w:sz w:val="28"/>
          <w:szCs w:val="28"/>
          <w:rtl/>
        </w:rPr>
        <w:t xml:space="preserve">تبصره 2: </w:t>
      </w:r>
      <w:r w:rsidRPr="00D563FD">
        <w:rPr>
          <w:rFonts w:ascii="Calibri" w:eastAsia="Calibri" w:hAnsi="Calibri" w:cs="B Nazanin" w:hint="cs"/>
          <w:b/>
          <w:bCs/>
          <w:sz w:val="26"/>
          <w:szCs w:val="26"/>
          <w:rtl/>
        </w:rPr>
        <w:t>در صورت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مغایرت شرح وظایف با پست سازمانی عضو رسمی و پیمانی با وظایف محوله به وی و همچنین شرح وظایف مندرج در قرارداد  عضو قراردادی با وظایف محوله به وی، ملاک تکمیل کاربرگ ارزیابی عملکرد وظایف محوله به عضو در سال ارزیابی است.</w:t>
      </w:r>
    </w:p>
    <w:p w:rsidR="00EA7BC4" w:rsidRDefault="00EA7BC4" w:rsidP="00EA7BC4">
      <w:pPr>
        <w:pStyle w:val="ListParagraph"/>
        <w:tabs>
          <w:tab w:val="left" w:pos="4"/>
          <w:tab w:val="left" w:pos="146"/>
        </w:tabs>
        <w:ind w:left="-138"/>
        <w:jc w:val="both"/>
        <w:rPr>
          <w:rFonts w:cs="B Titr"/>
          <w:sz w:val="28"/>
          <w:szCs w:val="28"/>
          <w:rtl/>
        </w:rPr>
      </w:pPr>
    </w:p>
    <w:p w:rsidR="00EA7BC4" w:rsidRDefault="00EA7BC4" w:rsidP="00EA7BC4">
      <w:pPr>
        <w:pStyle w:val="ListParagraph"/>
        <w:numPr>
          <w:ilvl w:val="0"/>
          <w:numId w:val="6"/>
        </w:numPr>
        <w:tabs>
          <w:tab w:val="left" w:pos="4"/>
          <w:tab w:val="left" w:pos="146"/>
        </w:tabs>
        <w:ind w:left="-138" w:firstLine="0"/>
        <w:jc w:val="both"/>
        <w:rPr>
          <w:rFonts w:cs="B Titr"/>
          <w:sz w:val="28"/>
          <w:szCs w:val="28"/>
        </w:rPr>
      </w:pPr>
      <w:r w:rsidRPr="00914B90">
        <w:rPr>
          <w:rFonts w:cs="B Titr" w:hint="cs"/>
          <w:sz w:val="28"/>
          <w:szCs w:val="28"/>
          <w:rtl/>
        </w:rPr>
        <w:t xml:space="preserve">ماده </w:t>
      </w:r>
      <w:r>
        <w:rPr>
          <w:rFonts w:cs="B Titr" w:hint="cs"/>
          <w:sz w:val="28"/>
          <w:szCs w:val="28"/>
          <w:rtl/>
        </w:rPr>
        <w:t>7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>سقف امتیازات قابل احتساب برای ارزیابی عملکرد اعضا به شرح جدول ذیل می باشد: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384"/>
        <w:gridCol w:w="2695"/>
        <w:gridCol w:w="1596"/>
        <w:gridCol w:w="2030"/>
      </w:tblGrid>
      <w:tr w:rsidR="00EA7BC4" w:rsidTr="00EA7BC4">
        <w:trPr>
          <w:jc w:val="center"/>
        </w:trPr>
        <w:tc>
          <w:tcPr>
            <w:tcW w:w="709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384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عنوان محور</w:t>
            </w: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عنوان معیار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سقف امتیاز هر معیار</w:t>
            </w:r>
          </w:p>
        </w:tc>
        <w:tc>
          <w:tcPr>
            <w:tcW w:w="2030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سقف امتیاز هر محور</w:t>
            </w:r>
          </w:p>
        </w:tc>
      </w:tr>
      <w:tr w:rsidR="00EA7BC4" w:rsidTr="00EA7BC4">
        <w:trPr>
          <w:trHeight w:val="351"/>
          <w:jc w:val="center"/>
        </w:trPr>
        <w:tc>
          <w:tcPr>
            <w:tcW w:w="709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384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عمومی</w:t>
            </w: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تعظیم شعائر و انضباط اداری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15 امتیاز</w:t>
            </w:r>
          </w:p>
        </w:tc>
        <w:tc>
          <w:tcPr>
            <w:tcW w:w="2030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50  امتیاز</w:t>
            </w:r>
          </w:p>
        </w:tc>
      </w:tr>
      <w:tr w:rsidR="00EA7BC4" w:rsidTr="00EA7BC4">
        <w:trPr>
          <w:trHeight w:val="268"/>
          <w:jc w:val="center"/>
        </w:trPr>
        <w:tc>
          <w:tcPr>
            <w:tcW w:w="709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4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شایستگی اداری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15 امتیاز</w:t>
            </w:r>
          </w:p>
        </w:tc>
        <w:tc>
          <w:tcPr>
            <w:tcW w:w="2030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7BC4" w:rsidTr="00EA7BC4">
        <w:trPr>
          <w:trHeight w:val="352"/>
          <w:jc w:val="center"/>
        </w:trPr>
        <w:tc>
          <w:tcPr>
            <w:tcW w:w="709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4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مهارتهای ارتباطی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10 امتیاز</w:t>
            </w:r>
          </w:p>
        </w:tc>
        <w:tc>
          <w:tcPr>
            <w:tcW w:w="2030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7BC4" w:rsidTr="00EA7BC4">
        <w:trPr>
          <w:trHeight w:val="393"/>
          <w:jc w:val="center"/>
        </w:trPr>
        <w:tc>
          <w:tcPr>
            <w:tcW w:w="709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4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توسعه فردی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10 امتیاز</w:t>
            </w:r>
          </w:p>
        </w:tc>
        <w:tc>
          <w:tcPr>
            <w:tcW w:w="2030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7BC4" w:rsidTr="00EA7BC4">
        <w:trPr>
          <w:trHeight w:val="318"/>
          <w:jc w:val="center"/>
        </w:trPr>
        <w:tc>
          <w:tcPr>
            <w:tcW w:w="709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384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اختصاصی</w:t>
            </w: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مشترک شغلی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30 امتیاز</w:t>
            </w:r>
          </w:p>
        </w:tc>
        <w:tc>
          <w:tcPr>
            <w:tcW w:w="2030" w:type="dxa"/>
            <w:vMerge w:val="restart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50  امتیاز</w:t>
            </w:r>
          </w:p>
        </w:tc>
      </w:tr>
      <w:tr w:rsidR="00EA7BC4" w:rsidTr="00EA7BC4">
        <w:trPr>
          <w:trHeight w:val="502"/>
          <w:jc w:val="center"/>
        </w:trPr>
        <w:tc>
          <w:tcPr>
            <w:tcW w:w="709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4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5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اختصاصی شغلی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 امتیاز</w:t>
            </w:r>
          </w:p>
        </w:tc>
        <w:tc>
          <w:tcPr>
            <w:tcW w:w="2030" w:type="dxa"/>
            <w:vMerge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7BC4" w:rsidTr="00EA7BC4">
        <w:trPr>
          <w:jc w:val="center"/>
        </w:trPr>
        <w:tc>
          <w:tcPr>
            <w:tcW w:w="4788" w:type="dxa"/>
            <w:gridSpan w:val="3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جمع کل امتیاز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100 امتیاز</w:t>
            </w:r>
          </w:p>
        </w:tc>
        <w:tc>
          <w:tcPr>
            <w:tcW w:w="2030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100 امتیاز</w:t>
            </w:r>
          </w:p>
        </w:tc>
      </w:tr>
      <w:tr w:rsidR="00EA7BC4" w:rsidTr="00EA7BC4">
        <w:trPr>
          <w:jc w:val="center"/>
        </w:trPr>
        <w:tc>
          <w:tcPr>
            <w:tcW w:w="4788" w:type="dxa"/>
            <w:gridSpan w:val="3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حداقل امتیاز مورد نیاز</w:t>
            </w:r>
          </w:p>
        </w:tc>
        <w:tc>
          <w:tcPr>
            <w:tcW w:w="1596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70 امتیاز</w:t>
            </w:r>
          </w:p>
        </w:tc>
        <w:tc>
          <w:tcPr>
            <w:tcW w:w="2030" w:type="dxa"/>
          </w:tcPr>
          <w:p w:rsidR="00EA7BC4" w:rsidRDefault="00EA7BC4" w:rsidP="00514B6B">
            <w:pPr>
              <w:pStyle w:val="ListParagraph"/>
              <w:ind w:left="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70 امتیاز</w:t>
            </w:r>
          </w:p>
        </w:tc>
      </w:tr>
    </w:tbl>
    <w:p w:rsidR="00EA7BC4" w:rsidRPr="00D563FD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cs="B Titr" w:hint="cs"/>
          <w:sz w:val="28"/>
          <w:szCs w:val="28"/>
          <w:rtl/>
        </w:rPr>
        <w:t>تبصره</w:t>
      </w:r>
      <w:r w:rsidRPr="00D563FD">
        <w:rPr>
          <w:rFonts w:cs="B Titr" w:hint="cs"/>
          <w:sz w:val="28"/>
          <w:szCs w:val="28"/>
          <w:rtl/>
        </w:rPr>
        <w:t xml:space="preserve">: </w:t>
      </w:r>
      <w:r w:rsidRPr="00D563FD">
        <w:rPr>
          <w:rFonts w:ascii="Calibri" w:eastAsia="Calibri" w:hAnsi="Calibri" w:cs="B Nazanin" w:hint="cs"/>
          <w:b/>
          <w:bCs/>
          <w:sz w:val="26"/>
          <w:szCs w:val="26"/>
          <w:rtl/>
        </w:rPr>
        <w:t>کسب حداقل 70 درصد سقف امتیاز ارزیابی الزامی است.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Default="00EA7BC4" w:rsidP="00EA7BC4">
      <w:pPr>
        <w:pStyle w:val="ListParagraph"/>
        <w:tabs>
          <w:tab w:val="left" w:pos="4"/>
          <w:tab w:val="left" w:pos="288"/>
          <w:tab w:val="left" w:pos="855"/>
        </w:tabs>
        <w:ind w:left="-138"/>
        <w:jc w:val="both"/>
        <w:rPr>
          <w:rFonts w:cs="B Titr"/>
          <w:sz w:val="28"/>
          <w:szCs w:val="28"/>
        </w:rPr>
      </w:pPr>
    </w:p>
    <w:p w:rsidR="00EA7BC4" w:rsidRPr="008D536A" w:rsidRDefault="00EA7BC4" w:rsidP="00EA7BC4">
      <w:pPr>
        <w:pStyle w:val="ListParagraph"/>
        <w:numPr>
          <w:ilvl w:val="0"/>
          <w:numId w:val="6"/>
        </w:numPr>
        <w:tabs>
          <w:tab w:val="left" w:pos="4"/>
          <w:tab w:val="left" w:pos="288"/>
          <w:tab w:val="left" w:pos="855"/>
        </w:tabs>
        <w:ind w:left="-138" w:firstLine="0"/>
        <w:jc w:val="both"/>
        <w:rPr>
          <w:rFonts w:cs="B Titr"/>
          <w:sz w:val="28"/>
          <w:szCs w:val="28"/>
        </w:rPr>
      </w:pPr>
      <w:r w:rsidRPr="008D536A">
        <w:rPr>
          <w:rFonts w:cs="B Titr" w:hint="cs"/>
          <w:sz w:val="28"/>
          <w:szCs w:val="28"/>
          <w:rtl/>
        </w:rPr>
        <w:lastRenderedPageBreak/>
        <w:t xml:space="preserve">ماده </w:t>
      </w:r>
      <w:r>
        <w:rPr>
          <w:rFonts w:cs="B Titr" w:hint="cs"/>
          <w:sz w:val="28"/>
          <w:szCs w:val="28"/>
          <w:rtl/>
        </w:rPr>
        <w:t>8</w:t>
      </w: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اعتراض اعضا به نتیجه ارزیابی عملکرد 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:</w:t>
      </w:r>
    </w:p>
    <w:p w:rsidR="00EA7BC4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درخواست عضو و ضميمه نمودن مستندات مربوطه (مشخص نمودن شاخص مورد تجديدنظر)و ارسال به مدير امور اداري (دبيرخانه ارزيابي عملكرد) </w:t>
      </w:r>
    </w:p>
    <w:p w:rsidR="00EA7BC4" w:rsidRDefault="00EA7BC4" w:rsidP="00EA7BC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بررسي اعتراض در كميته ارزيابي عملكرد و اعلام نتيجه به عضو.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BD5D75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تبصره: 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زمان شروع اعتراض از تاريخ ارسال كارنامه ارزيابي عملكرد به مدت 10 روز مي‌باشد.</w:t>
      </w:r>
    </w:p>
    <w:p w:rsidR="00EA7BC4" w:rsidRPr="00BD5D75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</w:rPr>
      </w:pP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Default="00EA7BC4" w:rsidP="00EA7BC4">
      <w:pPr>
        <w:pStyle w:val="ListParagraph"/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Pr="004E5D2D" w:rsidRDefault="00EA7BC4" w:rsidP="00EA7BC4">
      <w:pPr>
        <w:ind w:right="-284"/>
        <w:jc w:val="center"/>
        <w:rPr>
          <w:rFonts w:cs="B Titr"/>
        </w:rPr>
      </w:pPr>
      <w:r w:rsidRPr="004E5D2D">
        <w:rPr>
          <w:rFonts w:cs="B Titr" w:hint="cs"/>
          <w:rtl/>
        </w:rPr>
        <w:t xml:space="preserve">شاخص‌های ارزیابی عملکرد در نرم‌افزار مدیریت عملکرد </w:t>
      </w:r>
      <w:r>
        <w:rPr>
          <w:rFonts w:cs="B Titr" w:hint="cs"/>
          <w:rtl/>
        </w:rPr>
        <w:t xml:space="preserve">مطابق </w:t>
      </w:r>
      <w:r w:rsidRPr="004E5D2D">
        <w:rPr>
          <w:rFonts w:cs="B Titr" w:hint="cs"/>
          <w:rtl/>
        </w:rPr>
        <w:t>با ماده 50 آیین‌نامه اعضای غیر هیات علمی</w:t>
      </w:r>
    </w:p>
    <w:tbl>
      <w:tblPr>
        <w:tblStyle w:val="TableGrid"/>
        <w:tblpPr w:leftFromText="180" w:rightFromText="180" w:vertAnchor="text" w:horzAnchor="margin" w:tblpXSpec="center" w:tblpY="38"/>
        <w:tblW w:w="8628" w:type="dxa"/>
        <w:tblLook w:val="04A0" w:firstRow="1" w:lastRow="0" w:firstColumn="1" w:lastColumn="0" w:noHBand="0" w:noVBand="1"/>
      </w:tblPr>
      <w:tblGrid>
        <w:gridCol w:w="2411"/>
        <w:gridCol w:w="709"/>
        <w:gridCol w:w="2844"/>
        <w:gridCol w:w="2664"/>
      </w:tblGrid>
      <w:tr w:rsidR="00EA7BC4" w:rsidTr="00514B6B">
        <w:trPr>
          <w:trHeight w:val="385"/>
        </w:trPr>
        <w:tc>
          <w:tcPr>
            <w:tcW w:w="2411" w:type="dxa"/>
            <w:shd w:val="clear" w:color="auto" w:fill="4F81BD" w:themeFill="accent1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ارزیابی</w:t>
            </w:r>
          </w:p>
        </w:tc>
        <w:tc>
          <w:tcPr>
            <w:tcW w:w="709" w:type="dxa"/>
            <w:shd w:val="clear" w:color="auto" w:fill="4F81BD" w:themeFill="accent1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2844" w:type="dxa"/>
            <w:shd w:val="clear" w:color="auto" w:fill="4F81BD" w:themeFill="accent1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شاخص</w:t>
            </w:r>
          </w:p>
        </w:tc>
        <w:tc>
          <w:tcPr>
            <w:tcW w:w="2664" w:type="dxa"/>
            <w:shd w:val="clear" w:color="auto" w:fill="4F81BD" w:themeFill="accent1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معیار</w:t>
            </w:r>
          </w:p>
        </w:tc>
      </w:tr>
      <w:tr w:rsidR="00EA7BC4" w:rsidTr="00514B6B">
        <w:trPr>
          <w:trHeight w:val="1122"/>
        </w:trPr>
        <w:tc>
          <w:tcPr>
            <w:tcW w:w="2411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سیستم حضور</w:t>
            </w:r>
            <w:r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غیاب</w:t>
            </w:r>
          </w:p>
        </w:tc>
        <w:tc>
          <w:tcPr>
            <w:tcW w:w="709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284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انضباط اداری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تعظیم شعائر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 انضباط اداری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EA7BC4" w:rsidTr="00514B6B">
        <w:trPr>
          <w:trHeight w:val="339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کمیته ارزیابی واحد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284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پیگیری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مشارکت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پشت‌کار و جدیت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مسئوليت پذيري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مهارتهاي رفتاري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(شایستگی‌های اداری)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EA7BC4" w:rsidTr="00514B6B">
        <w:trPr>
          <w:trHeight w:val="339"/>
        </w:trPr>
        <w:tc>
          <w:tcPr>
            <w:tcW w:w="2411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 کمیته ارزیابی واحد</w:t>
            </w:r>
          </w:p>
        </w:tc>
        <w:tc>
          <w:tcPr>
            <w:tcW w:w="709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84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تکریم ارباب‌رجوع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تعامل اثربخش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همکاری و کارتیمی</w:t>
            </w:r>
          </w:p>
        </w:tc>
        <w:tc>
          <w:tcPr>
            <w:tcW w:w="266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مهارت‌های ارتباطی</w:t>
            </w:r>
          </w:p>
        </w:tc>
      </w:tr>
      <w:tr w:rsidR="00EA7BC4" w:rsidTr="00514B6B">
        <w:trPr>
          <w:trHeight w:val="339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آموزش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84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یادگیری و آموزش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توسعه فردی</w:t>
            </w:r>
          </w:p>
        </w:tc>
      </w:tr>
      <w:tr w:rsidR="00EA7BC4" w:rsidTr="00514B6B">
        <w:trPr>
          <w:trHeight w:val="339"/>
        </w:trPr>
        <w:tc>
          <w:tcPr>
            <w:tcW w:w="2411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 کمیته ارزیابی واحد</w:t>
            </w:r>
          </w:p>
        </w:tc>
        <w:tc>
          <w:tcPr>
            <w:tcW w:w="709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284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برنامه‌ریزی و مدیریت زمان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خلاقیت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تصمیم‌گیری</w:t>
            </w:r>
          </w:p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تفکر تحلیلی</w:t>
            </w:r>
          </w:p>
        </w:tc>
        <w:tc>
          <w:tcPr>
            <w:tcW w:w="2664" w:type="dxa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مشترک شغلی</w:t>
            </w:r>
          </w:p>
        </w:tc>
      </w:tr>
      <w:tr w:rsidR="00EA7BC4" w:rsidTr="00514B6B">
        <w:trPr>
          <w:trHeight w:val="339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 کمیته ارزیابی واحد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284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شرح شغل و عملكرد اختصاصي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EA7BC4" w:rsidRDefault="00EA7BC4" w:rsidP="00514B6B">
            <w:pPr>
              <w:ind w:left="-138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اختصاصی شغل</w:t>
            </w:r>
          </w:p>
        </w:tc>
      </w:tr>
    </w:tbl>
    <w:p w:rsidR="00EA7BC4" w:rsidRPr="00B97DE5" w:rsidRDefault="00EA7BC4" w:rsidP="00EA7BC4">
      <w:pPr>
        <w:ind w:left="-138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EA7BC4" w:rsidRDefault="00EA7BC4" w:rsidP="00EA7BC4">
      <w:pPr>
        <w:jc w:val="center"/>
        <w:rPr>
          <w:rFonts w:ascii="B Titr,Bold" w:cs="B Lotus"/>
          <w:b/>
          <w:bCs/>
          <w:sz w:val="24"/>
          <w:szCs w:val="24"/>
          <w:rtl/>
        </w:rPr>
      </w:pPr>
    </w:p>
    <w:sectPr w:rsidR="00EA7BC4" w:rsidSect="00EA7BC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29" w:rsidRDefault="00C44B29" w:rsidP="00405BA2">
      <w:pPr>
        <w:spacing w:after="0" w:line="240" w:lineRule="auto"/>
      </w:pPr>
      <w:r>
        <w:separator/>
      </w:r>
    </w:p>
  </w:endnote>
  <w:endnote w:type="continuationSeparator" w:id="0">
    <w:p w:rsidR="00C44B29" w:rsidRDefault="00C44B29" w:rsidP="0040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5923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BC4" w:rsidRDefault="00EA7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C5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A7BC4" w:rsidRDefault="00EA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29" w:rsidRDefault="00C44B29" w:rsidP="00405BA2">
      <w:pPr>
        <w:spacing w:after="0" w:line="240" w:lineRule="auto"/>
      </w:pPr>
      <w:r>
        <w:separator/>
      </w:r>
    </w:p>
  </w:footnote>
  <w:footnote w:type="continuationSeparator" w:id="0">
    <w:p w:rsidR="00C44B29" w:rsidRDefault="00C44B29" w:rsidP="0040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4" w:rsidRDefault="00C44B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42797" o:spid="_x0000_s2050" type="#_x0000_t75" style="position:absolute;left:0;text-align:left;margin-left:0;margin-top:0;width:481.85pt;height:319.85pt;z-index:-251657216;mso-position-horizontal:center;mso-position-horizontal-relative:margin;mso-position-vertical:center;mso-position-vertical-relative:margin" o:allowincell="f">
          <v:imagedata r:id="rId1" o:title="ارام دانشگا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4" w:rsidRDefault="00C44B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42798" o:spid="_x0000_s2051" type="#_x0000_t75" style="position:absolute;left:0;text-align:left;margin-left:0;margin-top:0;width:481.85pt;height:319.85pt;z-index:-251656192;mso-position-horizontal:center;mso-position-horizontal-relative:margin;mso-position-vertical:center;mso-position-vertical-relative:margin" o:allowincell="f">
          <v:imagedata r:id="rId1" o:title="ارام دانشگا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4" w:rsidRDefault="00C44B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42796" o:spid="_x0000_s2049" type="#_x0000_t75" style="position:absolute;left:0;text-align:left;margin-left:0;margin-top:0;width:481.85pt;height:319.85pt;z-index:-251658240;mso-position-horizontal:center;mso-position-horizontal-relative:margin;mso-position-vertical:center;mso-position-vertical-relative:margin" o:allowincell="f">
          <v:imagedata r:id="rId1" o:title="ارام دانشگا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0A3"/>
    <w:multiLevelType w:val="hybridMultilevel"/>
    <w:tmpl w:val="893A0D78"/>
    <w:lvl w:ilvl="0" w:tplc="CED4334A">
      <w:numFmt w:val="bullet"/>
      <w:lvlText w:val="-"/>
      <w:lvlJc w:val="left"/>
      <w:pPr>
        <w:ind w:left="801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2F8F4380"/>
    <w:multiLevelType w:val="hybridMultilevel"/>
    <w:tmpl w:val="E2FEAFD2"/>
    <w:lvl w:ilvl="0" w:tplc="0456CCF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00B4"/>
    <w:multiLevelType w:val="hybridMultilevel"/>
    <w:tmpl w:val="511AA868"/>
    <w:lvl w:ilvl="0" w:tplc="9BEAC75A">
      <w:start w:val="3"/>
      <w:numFmt w:val="bullet"/>
      <w:lvlText w:val="-"/>
      <w:lvlJc w:val="left"/>
      <w:pPr>
        <w:ind w:left="720" w:hanging="360"/>
      </w:pPr>
      <w:rPr>
        <w:rFonts w:ascii="B Roya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097E"/>
    <w:multiLevelType w:val="hybridMultilevel"/>
    <w:tmpl w:val="5F468FD2"/>
    <w:lvl w:ilvl="0" w:tplc="8FA40E64">
      <w:start w:val="1"/>
      <w:numFmt w:val="decimal"/>
      <w:lvlText w:val="%1-"/>
      <w:lvlJc w:val="left"/>
      <w:pPr>
        <w:ind w:left="-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" w:hanging="360"/>
      </w:pPr>
    </w:lvl>
    <w:lvl w:ilvl="2" w:tplc="0409001B" w:tentative="1">
      <w:start w:val="1"/>
      <w:numFmt w:val="lowerRoman"/>
      <w:lvlText w:val="%3."/>
      <w:lvlJc w:val="right"/>
      <w:pPr>
        <w:ind w:left="1188" w:hanging="180"/>
      </w:pPr>
    </w:lvl>
    <w:lvl w:ilvl="3" w:tplc="0409000F" w:tentative="1">
      <w:start w:val="1"/>
      <w:numFmt w:val="decimal"/>
      <w:lvlText w:val="%4."/>
      <w:lvlJc w:val="left"/>
      <w:pPr>
        <w:ind w:left="1908" w:hanging="360"/>
      </w:pPr>
    </w:lvl>
    <w:lvl w:ilvl="4" w:tplc="04090019" w:tentative="1">
      <w:start w:val="1"/>
      <w:numFmt w:val="lowerLetter"/>
      <w:lvlText w:val="%5."/>
      <w:lvlJc w:val="left"/>
      <w:pPr>
        <w:ind w:left="2628" w:hanging="360"/>
      </w:pPr>
    </w:lvl>
    <w:lvl w:ilvl="5" w:tplc="0409001B" w:tentative="1">
      <w:start w:val="1"/>
      <w:numFmt w:val="lowerRoman"/>
      <w:lvlText w:val="%6."/>
      <w:lvlJc w:val="right"/>
      <w:pPr>
        <w:ind w:left="3348" w:hanging="180"/>
      </w:pPr>
    </w:lvl>
    <w:lvl w:ilvl="6" w:tplc="0409000F" w:tentative="1">
      <w:start w:val="1"/>
      <w:numFmt w:val="decimal"/>
      <w:lvlText w:val="%7."/>
      <w:lvlJc w:val="left"/>
      <w:pPr>
        <w:ind w:left="4068" w:hanging="360"/>
      </w:pPr>
    </w:lvl>
    <w:lvl w:ilvl="7" w:tplc="04090019" w:tentative="1">
      <w:start w:val="1"/>
      <w:numFmt w:val="lowerLetter"/>
      <w:lvlText w:val="%8."/>
      <w:lvlJc w:val="left"/>
      <w:pPr>
        <w:ind w:left="4788" w:hanging="360"/>
      </w:pPr>
    </w:lvl>
    <w:lvl w:ilvl="8" w:tplc="0409001B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4" w15:restartNumberingAfterBreak="0">
    <w:nsid w:val="54394A4B"/>
    <w:multiLevelType w:val="hybridMultilevel"/>
    <w:tmpl w:val="38080E76"/>
    <w:lvl w:ilvl="0" w:tplc="E8B02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0F47"/>
    <w:multiLevelType w:val="hybridMultilevel"/>
    <w:tmpl w:val="182A82F6"/>
    <w:lvl w:ilvl="0" w:tplc="BEC64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266F"/>
    <w:multiLevelType w:val="hybridMultilevel"/>
    <w:tmpl w:val="B75A80F2"/>
    <w:lvl w:ilvl="0" w:tplc="04090009">
      <w:start w:val="1"/>
      <w:numFmt w:val="bullet"/>
      <w:lvlText w:val="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2"/>
    <w:rsid w:val="0000755F"/>
    <w:rsid w:val="00036C5D"/>
    <w:rsid w:val="00052629"/>
    <w:rsid w:val="00053B8A"/>
    <w:rsid w:val="00081ACF"/>
    <w:rsid w:val="00084DAC"/>
    <w:rsid w:val="0009450A"/>
    <w:rsid w:val="000B6B1A"/>
    <w:rsid w:val="000C1D63"/>
    <w:rsid w:val="000C6639"/>
    <w:rsid w:val="000F3F67"/>
    <w:rsid w:val="00111BA8"/>
    <w:rsid w:val="001319BE"/>
    <w:rsid w:val="00135E6C"/>
    <w:rsid w:val="00143D8E"/>
    <w:rsid w:val="00176FDF"/>
    <w:rsid w:val="00177489"/>
    <w:rsid w:val="001D04F5"/>
    <w:rsid w:val="001F3AE8"/>
    <w:rsid w:val="002140C3"/>
    <w:rsid w:val="0022059F"/>
    <w:rsid w:val="002347FC"/>
    <w:rsid w:val="00235DE2"/>
    <w:rsid w:val="00237930"/>
    <w:rsid w:val="00244319"/>
    <w:rsid w:val="002521F7"/>
    <w:rsid w:val="00261257"/>
    <w:rsid w:val="00264755"/>
    <w:rsid w:val="0026783A"/>
    <w:rsid w:val="002A7898"/>
    <w:rsid w:val="002C6437"/>
    <w:rsid w:val="002C6DBE"/>
    <w:rsid w:val="002D4C06"/>
    <w:rsid w:val="002D7557"/>
    <w:rsid w:val="002E172E"/>
    <w:rsid w:val="0030046A"/>
    <w:rsid w:val="00312FEC"/>
    <w:rsid w:val="0032222A"/>
    <w:rsid w:val="00331C8B"/>
    <w:rsid w:val="00346312"/>
    <w:rsid w:val="00346F2C"/>
    <w:rsid w:val="003848B0"/>
    <w:rsid w:val="00385AE5"/>
    <w:rsid w:val="003B206E"/>
    <w:rsid w:val="003C0932"/>
    <w:rsid w:val="003C4B90"/>
    <w:rsid w:val="003D77C1"/>
    <w:rsid w:val="00403589"/>
    <w:rsid w:val="00405BA2"/>
    <w:rsid w:val="00407ED0"/>
    <w:rsid w:val="00440D8D"/>
    <w:rsid w:val="0046149A"/>
    <w:rsid w:val="0046174F"/>
    <w:rsid w:val="00484E15"/>
    <w:rsid w:val="00492608"/>
    <w:rsid w:val="004A2BCA"/>
    <w:rsid w:val="004A679E"/>
    <w:rsid w:val="004C691B"/>
    <w:rsid w:val="004D4838"/>
    <w:rsid w:val="004F5191"/>
    <w:rsid w:val="005045EB"/>
    <w:rsid w:val="005176EE"/>
    <w:rsid w:val="005406F3"/>
    <w:rsid w:val="005B512E"/>
    <w:rsid w:val="005B526F"/>
    <w:rsid w:val="005B722D"/>
    <w:rsid w:val="005C1A79"/>
    <w:rsid w:val="005F08AA"/>
    <w:rsid w:val="005F5F07"/>
    <w:rsid w:val="006058DD"/>
    <w:rsid w:val="00605ABC"/>
    <w:rsid w:val="006076EF"/>
    <w:rsid w:val="006127EE"/>
    <w:rsid w:val="00643023"/>
    <w:rsid w:val="00644BEA"/>
    <w:rsid w:val="00646FF1"/>
    <w:rsid w:val="00654D1E"/>
    <w:rsid w:val="00657868"/>
    <w:rsid w:val="00674307"/>
    <w:rsid w:val="006757B7"/>
    <w:rsid w:val="00677FD0"/>
    <w:rsid w:val="006A14CB"/>
    <w:rsid w:val="006F01A2"/>
    <w:rsid w:val="00715A2D"/>
    <w:rsid w:val="007408D6"/>
    <w:rsid w:val="007620D4"/>
    <w:rsid w:val="00776EF3"/>
    <w:rsid w:val="00782C77"/>
    <w:rsid w:val="0078525A"/>
    <w:rsid w:val="007949B6"/>
    <w:rsid w:val="00794B52"/>
    <w:rsid w:val="007A77DE"/>
    <w:rsid w:val="007D4567"/>
    <w:rsid w:val="007E28A1"/>
    <w:rsid w:val="007E33F1"/>
    <w:rsid w:val="00805A54"/>
    <w:rsid w:val="00807D85"/>
    <w:rsid w:val="00823072"/>
    <w:rsid w:val="00846EAC"/>
    <w:rsid w:val="00865F01"/>
    <w:rsid w:val="00866FB6"/>
    <w:rsid w:val="00880D35"/>
    <w:rsid w:val="008A217E"/>
    <w:rsid w:val="008A43E9"/>
    <w:rsid w:val="008A5015"/>
    <w:rsid w:val="008A7D8C"/>
    <w:rsid w:val="008B5C33"/>
    <w:rsid w:val="008D1282"/>
    <w:rsid w:val="008D4AAF"/>
    <w:rsid w:val="009127F3"/>
    <w:rsid w:val="00937045"/>
    <w:rsid w:val="00940F04"/>
    <w:rsid w:val="00966FDE"/>
    <w:rsid w:val="009933C6"/>
    <w:rsid w:val="009A5213"/>
    <w:rsid w:val="009B0061"/>
    <w:rsid w:val="009B4EC1"/>
    <w:rsid w:val="009C1327"/>
    <w:rsid w:val="009D0F61"/>
    <w:rsid w:val="009D3948"/>
    <w:rsid w:val="009D7650"/>
    <w:rsid w:val="009E7F2E"/>
    <w:rsid w:val="00A106DA"/>
    <w:rsid w:val="00A235DD"/>
    <w:rsid w:val="00A25378"/>
    <w:rsid w:val="00A33C6D"/>
    <w:rsid w:val="00A40BDC"/>
    <w:rsid w:val="00A7016C"/>
    <w:rsid w:val="00A70188"/>
    <w:rsid w:val="00A75044"/>
    <w:rsid w:val="00A95BEB"/>
    <w:rsid w:val="00AC06E0"/>
    <w:rsid w:val="00AC54B9"/>
    <w:rsid w:val="00AC747E"/>
    <w:rsid w:val="00AD0AEF"/>
    <w:rsid w:val="00AD1139"/>
    <w:rsid w:val="00AF7C04"/>
    <w:rsid w:val="00B0140C"/>
    <w:rsid w:val="00B2610D"/>
    <w:rsid w:val="00B843B5"/>
    <w:rsid w:val="00BA03A8"/>
    <w:rsid w:val="00BC53F3"/>
    <w:rsid w:val="00BE653C"/>
    <w:rsid w:val="00BF468C"/>
    <w:rsid w:val="00BF7D89"/>
    <w:rsid w:val="00C06682"/>
    <w:rsid w:val="00C44B29"/>
    <w:rsid w:val="00C47C77"/>
    <w:rsid w:val="00C548AB"/>
    <w:rsid w:val="00C6444C"/>
    <w:rsid w:val="00C67C4D"/>
    <w:rsid w:val="00C93B90"/>
    <w:rsid w:val="00CB0D1F"/>
    <w:rsid w:val="00CB537F"/>
    <w:rsid w:val="00CC1102"/>
    <w:rsid w:val="00CD0E99"/>
    <w:rsid w:val="00CE27C2"/>
    <w:rsid w:val="00CF03DE"/>
    <w:rsid w:val="00D17EEB"/>
    <w:rsid w:val="00D42641"/>
    <w:rsid w:val="00D51468"/>
    <w:rsid w:val="00D601B6"/>
    <w:rsid w:val="00D95A39"/>
    <w:rsid w:val="00DA3EAF"/>
    <w:rsid w:val="00DB303A"/>
    <w:rsid w:val="00DB42B3"/>
    <w:rsid w:val="00DD34E2"/>
    <w:rsid w:val="00DF1A31"/>
    <w:rsid w:val="00E25D47"/>
    <w:rsid w:val="00E32A01"/>
    <w:rsid w:val="00E5625F"/>
    <w:rsid w:val="00E5713C"/>
    <w:rsid w:val="00E575B6"/>
    <w:rsid w:val="00E65EC6"/>
    <w:rsid w:val="00E827CC"/>
    <w:rsid w:val="00E96DD4"/>
    <w:rsid w:val="00EA7BC4"/>
    <w:rsid w:val="00EB5FF5"/>
    <w:rsid w:val="00F108F0"/>
    <w:rsid w:val="00F517CF"/>
    <w:rsid w:val="00F55B3A"/>
    <w:rsid w:val="00F640B8"/>
    <w:rsid w:val="00F7413F"/>
    <w:rsid w:val="00F907D3"/>
    <w:rsid w:val="00FC3392"/>
    <w:rsid w:val="00FD09CC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70B7CCE-D99B-4D1A-8726-0019CDA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A2"/>
  </w:style>
  <w:style w:type="paragraph" w:styleId="Footer">
    <w:name w:val="footer"/>
    <w:basedOn w:val="Normal"/>
    <w:link w:val="FooterChar"/>
    <w:uiPriority w:val="99"/>
    <w:unhideWhenUsed/>
    <w:rsid w:val="0040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A2"/>
  </w:style>
  <w:style w:type="paragraph" w:styleId="BalloonText">
    <w:name w:val="Balloon Text"/>
    <w:basedOn w:val="Normal"/>
    <w:link w:val="BalloonTextChar"/>
    <w:uiPriority w:val="99"/>
    <w:semiHidden/>
    <w:unhideWhenUsed/>
    <w:rsid w:val="0040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CF"/>
    <w:rPr>
      <w:color w:val="808080"/>
    </w:rPr>
  </w:style>
  <w:style w:type="table" w:styleId="TableGrid">
    <w:name w:val="Table Grid"/>
    <w:basedOn w:val="TableNormal"/>
    <w:uiPriority w:val="59"/>
    <w:rsid w:val="0024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1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77C6-1211-473B-B4E5-E4905979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parsina</dc:creator>
  <cp:lastModifiedBy>Windows User</cp:lastModifiedBy>
  <cp:revision>2</cp:revision>
  <cp:lastPrinted>2019-01-07T07:39:00Z</cp:lastPrinted>
  <dcterms:created xsi:type="dcterms:W3CDTF">2021-01-17T17:46:00Z</dcterms:created>
  <dcterms:modified xsi:type="dcterms:W3CDTF">2021-01-17T17:46:00Z</dcterms:modified>
</cp:coreProperties>
</file>